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680"/>
        <w:gridCol w:w="5327"/>
      </w:tblGrid>
      <w:tr w:rsidR="0004713E" w:rsidRPr="0004713E" w14:paraId="4FB7D8EE" w14:textId="77777777" w:rsidTr="0004713E">
        <w:trPr>
          <w:trHeight w:val="1765"/>
          <w:jc w:val="center"/>
        </w:trPr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D37C" w14:textId="77777777" w:rsidR="0004713E" w:rsidRPr="0004713E" w:rsidRDefault="0004713E" w:rsidP="000471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r w:rsidRPr="0004713E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BAN CHẤP HÀNH TRUNG ƯƠNG</w:t>
            </w:r>
          </w:p>
          <w:p w14:paraId="224641A5" w14:textId="77777777" w:rsidR="0004713E" w:rsidRPr="0004713E" w:rsidRDefault="0004713E" w:rsidP="0004713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r w:rsidRPr="0004713E"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  <w:t>*</w:t>
            </w:r>
          </w:p>
          <w:p w14:paraId="7C512BAF" w14:textId="77777777" w:rsidR="0004713E" w:rsidRPr="0004713E" w:rsidRDefault="0004713E" w:rsidP="0004713E">
            <w:pPr>
              <w:spacing w:after="12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proofErr w:type="spellStart"/>
            <w:r w:rsidRPr="0004713E"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  <w:t>Số</w:t>
            </w:r>
            <w:proofErr w:type="spellEnd"/>
            <w:r w:rsidRPr="0004713E"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  <w:t xml:space="preserve"> 52-NQ/TW</w:t>
            </w:r>
          </w:p>
        </w:tc>
        <w:tc>
          <w:tcPr>
            <w:tcW w:w="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C31F" w14:textId="77777777" w:rsidR="0004713E" w:rsidRPr="0004713E" w:rsidRDefault="0004713E" w:rsidP="0004713E">
            <w:pPr>
              <w:spacing w:after="150" w:line="240" w:lineRule="auto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r w:rsidRPr="0004713E"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617D" w14:textId="77777777" w:rsidR="0004713E" w:rsidRPr="0004713E" w:rsidRDefault="0004713E" w:rsidP="000471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r w:rsidRPr="0004713E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ĐẢNG CỘNG SẢN VIỆT NAM</w:t>
            </w:r>
          </w:p>
          <w:p w14:paraId="6677E175" w14:textId="77777777" w:rsidR="0004713E" w:rsidRPr="0004713E" w:rsidRDefault="0004713E" w:rsidP="000471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r w:rsidRPr="0004713E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vertAlign w:val="superscript"/>
              </w:rPr>
              <w:t>________________________</w:t>
            </w:r>
          </w:p>
          <w:p w14:paraId="201138AC" w14:textId="77777777" w:rsidR="0004713E" w:rsidRPr="0004713E" w:rsidRDefault="0004713E" w:rsidP="000471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proofErr w:type="spellStart"/>
            <w:r w:rsidRPr="0004713E">
              <w:rPr>
                <w:rFonts w:ascii="Roboto" w:eastAsia="Times New Roman" w:hAnsi="Roboto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Hà</w:t>
            </w:r>
            <w:proofErr w:type="spellEnd"/>
            <w:r w:rsidRPr="0004713E">
              <w:rPr>
                <w:rFonts w:ascii="Roboto" w:eastAsia="Times New Roman" w:hAnsi="Roboto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713E">
              <w:rPr>
                <w:rFonts w:ascii="Roboto" w:eastAsia="Times New Roman" w:hAnsi="Roboto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Nội</w:t>
            </w:r>
            <w:proofErr w:type="spellEnd"/>
            <w:r w:rsidRPr="0004713E">
              <w:rPr>
                <w:rFonts w:ascii="Roboto" w:eastAsia="Times New Roman" w:hAnsi="Roboto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04713E">
              <w:rPr>
                <w:rFonts w:ascii="Roboto" w:eastAsia="Times New Roman" w:hAnsi="Roboto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ngày</w:t>
            </w:r>
            <w:proofErr w:type="spellEnd"/>
            <w:r w:rsidRPr="0004713E">
              <w:rPr>
                <w:rFonts w:ascii="Roboto" w:eastAsia="Times New Roman" w:hAnsi="Roboto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 xml:space="preserve"> 27 </w:t>
            </w:r>
            <w:proofErr w:type="spellStart"/>
            <w:r w:rsidRPr="0004713E">
              <w:rPr>
                <w:rFonts w:ascii="Roboto" w:eastAsia="Times New Roman" w:hAnsi="Roboto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tháng</w:t>
            </w:r>
            <w:proofErr w:type="spellEnd"/>
            <w:r w:rsidRPr="0004713E">
              <w:rPr>
                <w:rFonts w:ascii="Roboto" w:eastAsia="Times New Roman" w:hAnsi="Roboto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 xml:space="preserve"> 9 </w:t>
            </w:r>
            <w:proofErr w:type="spellStart"/>
            <w:r w:rsidRPr="0004713E">
              <w:rPr>
                <w:rFonts w:ascii="Roboto" w:eastAsia="Times New Roman" w:hAnsi="Roboto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năm</w:t>
            </w:r>
            <w:proofErr w:type="spellEnd"/>
            <w:r w:rsidRPr="0004713E">
              <w:rPr>
                <w:rFonts w:ascii="Roboto" w:eastAsia="Times New Roman" w:hAnsi="Roboto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 xml:space="preserve"> 2019</w:t>
            </w:r>
          </w:p>
        </w:tc>
      </w:tr>
    </w:tbl>
    <w:p w14:paraId="5B09F003" w14:textId="1950BC80" w:rsidR="0004713E" w:rsidRPr="0004713E" w:rsidRDefault="0004713E" w:rsidP="0004713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NGHỊ QUYẾT</w:t>
      </w:r>
    </w:p>
    <w:p w14:paraId="27497CDB" w14:textId="77777777" w:rsidR="0004713E" w:rsidRPr="0004713E" w:rsidRDefault="0004713E" w:rsidP="0004713E">
      <w:pPr>
        <w:shd w:val="clear" w:color="auto" w:fill="FFFFFF"/>
        <w:spacing w:before="40" w:after="2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 BỘ CHÍNH TRỊ</w:t>
      </w:r>
    </w:p>
    <w:p w14:paraId="4947A843" w14:textId="77777777" w:rsidR="0004713E" w:rsidRPr="0004713E" w:rsidRDefault="0004713E" w:rsidP="0004713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về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một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số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chủ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trương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chính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sách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chủ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động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tham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gia</w:t>
      </w:r>
      <w:proofErr w:type="spellEnd"/>
    </w:p>
    <w:p w14:paraId="5D0EEFD9" w14:textId="77777777" w:rsidR="0004713E" w:rsidRPr="0004713E" w:rsidRDefault="0004713E" w:rsidP="0004713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cuộc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Cách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mạng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công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nghiệp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lần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thứ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tư</w:t>
      </w:r>
      <w:proofErr w:type="spellEnd"/>
    </w:p>
    <w:p w14:paraId="21144C0C" w14:textId="77777777" w:rsidR="0004713E" w:rsidRPr="0004713E" w:rsidRDefault="0004713E" w:rsidP="0004713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-----</w:t>
      </w:r>
    </w:p>
    <w:p w14:paraId="22B637A3" w14:textId="77777777" w:rsidR="0004713E" w:rsidRPr="0004713E" w:rsidRDefault="0004713E" w:rsidP="000471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 </w:t>
      </w:r>
    </w:p>
    <w:p w14:paraId="4381226F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I- TÌNH HÌNH VÀ NGUYÊN NHÂN</w:t>
      </w:r>
    </w:p>
    <w:p w14:paraId="4C12DB55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ra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đồng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ra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mỗi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đang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càng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lĩnh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qua,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ta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lãnh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chỉ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khoa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nắm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bắt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tướng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chỉ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phê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duyệt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thúc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chia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sẻ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nhằm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thúc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tin,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viễn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tầng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viễn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đồng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càng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dịch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xuất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càng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dịch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xuyên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Internet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đang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người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0A753202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vậy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ta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còn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còn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nguồn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chưa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yêu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Khoa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chưa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sự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chưa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đồng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còn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chậm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thiếu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do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tầng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phục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còn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còn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còn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còn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nhỏ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đấu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phạm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còn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4D0C404E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Những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những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nguyên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nguyên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còn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chưa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khoa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còn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yêu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chậm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lastRenderedPageBreak/>
        <w:t>sức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ỳ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còn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lớn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còn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chưa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kịp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diễn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Sự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giữa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ban,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giữa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chưa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vướng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mắc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chậm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6A0BD869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II- QUAN ĐIỂM CHỈ ĐẠO VÀ MỤC TIÊU</w:t>
      </w:r>
    </w:p>
    <w:p w14:paraId="637A1972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1. Quan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điểm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chỉ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đạo</w:t>
      </w:r>
      <w:proofErr w:type="spellEnd"/>
    </w:p>
    <w:p w14:paraId="5E2F1A6E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yêu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yếu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nhiệm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ý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nghĩa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đặc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vừa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vừa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lâu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gắn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sâu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rộng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đồng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đúng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đắn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coi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Nam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bứt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5015DD01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mang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nắm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bắt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kịp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suất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lao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qua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tựu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lĩnh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lĩnh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tiềm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trưởng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bắt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kịp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cùng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vượt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ở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lĩnh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so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phòng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ngừa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phòng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gram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an</w:t>
      </w:r>
      <w:proofErr w:type="gram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vững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71CC508B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yêu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những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vấn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tiễn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ra,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mọi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mọi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biểu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bàng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thiếu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tự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tin,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nhưng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nóng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ý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463AD4E3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nguồn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nguồn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nguồn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lâu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nguồn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ngoài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sự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lãnh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5A05F3FC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2.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Mục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tiêu</w:t>
      </w:r>
      <w:proofErr w:type="spellEnd"/>
    </w:p>
    <w:p w14:paraId="316DFD7D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Mục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tiêu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tổng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quát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: 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do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đem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thúc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trưởng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gắn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vững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khoa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phúc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người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vững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chắc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phòng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63A27050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Một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số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mục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tiêu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cụ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thể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đến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năm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2025: 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xếp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chỉ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(GII)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3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dẫn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ASEAN.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tầng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ASEAN; Internet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rộng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100%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chiếm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khoảng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20% GDP;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suất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lao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7%/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nhóm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4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dẫn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ASEAN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xếp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lastRenderedPageBreak/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ít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3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3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vùng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phía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Bắc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phía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Nam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miền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69BB86F9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Một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số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mục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tiêu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cụ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thể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đến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>năm</w:t>
      </w:r>
      <w:proofErr w:type="spellEnd"/>
      <w:r w:rsidRPr="0004713E">
        <w:rPr>
          <w:rFonts w:ascii="Roboto" w:eastAsia="Times New Roman" w:hAnsi="Roboto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</w:rPr>
        <w:t xml:space="preserve"> 2030: 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xếp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chỉ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(GII)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nhóm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40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dẫn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di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5G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sóng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mọi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người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Internet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rộng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chi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chiếm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30% GDP;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suất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lao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khoảng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7,5%/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chuỗi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phía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Bắc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phía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Nam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miền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từng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5A35FD76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3.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Tầm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nhìn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đến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năm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2045: 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Nam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những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xuất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dịch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khởi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nhóm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dẫn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Châu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Á;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suất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lao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lĩnh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phòng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64496D22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III- MỘT SỐ CHỦ TRƯƠNG, CHÍNH SÁCH CHỦ ĐỘNG THAM GIA CUỘC CÁCH MẠNG CÔNG NGHIỆP LẦN THỨ TƯ</w:t>
      </w:r>
    </w:p>
    <w:p w14:paraId="6FECA650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1.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Đổi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mới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tư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duy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thống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nhất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nhận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thức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tăng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cường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vai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trò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lãnh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đạo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của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Đảng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quản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lý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của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Nhà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nước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, 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phát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huy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sự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tham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gia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của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Mặt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trận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Tổ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quốc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các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tổ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chức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chính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trị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xã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hội</w:t>
      </w:r>
      <w:proofErr w:type="spellEnd"/>
    </w:p>
    <w:p w14:paraId="64B539A8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uỷ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sự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coi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nhiệm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Gắn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mục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nhiệm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mục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nhiệm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phòng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gram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an</w:t>
      </w:r>
      <w:proofErr w:type="gram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1771BFC5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dung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cốt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lõi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ta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thúc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khoa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lĩnh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thúc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01D6A4F6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lĩnh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nhiệm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thúc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khoa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hỗ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người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22833448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sự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chịu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giám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giữa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1E796981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2.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Hoàn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thiện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thể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chế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tạo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thuận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lợi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cho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chủ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động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tham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gia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cuộc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Cách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mạng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công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nghiệp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lần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thứ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tư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và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quá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trình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chuyển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đổi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số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quốc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gia</w:t>
      </w:r>
      <w:proofErr w:type="spellEnd"/>
    </w:p>
    <w:p w14:paraId="32D13EF3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luật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luật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khởi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hữu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tuệ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phẩm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dịch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Internet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đồng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chặn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kịp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phòng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trật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tự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lastRenderedPageBreak/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sung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thúc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khởi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2068B5E3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Sớm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soát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phẩm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dịch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từ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rõ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phạm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vi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chuẩn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chuẩn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phẩm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6C16957C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khuôn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luật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dữ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dữ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chia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sẻ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dữ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gram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an</w:t>
      </w:r>
      <w:proofErr w:type="gram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ASEAN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lang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3971B5F3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nhằm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khuyến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mọi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nguồn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khoa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Sửa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hướng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hút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vốn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mua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mua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ngoài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góp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vốn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khởi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5A5E0783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luật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hữu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tuệ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tuệ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do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Nam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ra;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khuyến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hữu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tuệ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đặc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Nam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tuân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luật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Khuyến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ty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Nam.</w:t>
      </w:r>
    </w:p>
    <w:p w14:paraId="64531D6E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luật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dịch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xuyên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xuất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mua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sắm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phẩm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do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Nam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xuất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639CF3EE" w14:textId="77777777" w:rsidR="0004713E" w:rsidRPr="0004713E" w:rsidRDefault="0004713E" w:rsidP="0004713E">
      <w:pPr>
        <w:shd w:val="clear" w:color="auto" w:fill="FFFFFF"/>
        <w:spacing w:before="180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lang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lao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kịp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ra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Thúc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ô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nhiễm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hậu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1746CBAD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xuất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Nam.</w:t>
      </w:r>
    </w:p>
    <w:p w14:paraId="12007A00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lastRenderedPageBreak/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vững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chuẩn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chuẩn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tầng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dữ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chỉ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rõ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chọn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phép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đặc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375516C9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3.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Chính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sách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phát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triển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cơ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sở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hạ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tầng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thiết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yếu</w:t>
      </w:r>
      <w:proofErr w:type="spellEnd"/>
    </w:p>
    <w:p w14:paraId="5657ED1E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rộng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phạm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vi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Khuyến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tầng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viễn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tầng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06307869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-</w:t>
      </w:r>
      <w:r w:rsidRPr="0004713E">
        <w:rPr>
          <w:rFonts w:ascii="Roboto" w:eastAsia="Times New Roman" w:hAnsi="Roboto" w:cs="Times New Roman"/>
          <w:i/>
          <w:iCs/>
          <w:color w:val="333333"/>
          <w:sz w:val="23"/>
          <w:szCs w:val="23"/>
          <w:bdr w:val="none" w:sz="0" w:space="0" w:color="auto" w:frame="1"/>
        </w:rPr>
        <w:t> 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đồng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tầng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dữ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dữ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dữ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vùng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đồng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dữ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tin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cậy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ổn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trang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trữ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dữ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0C8805D3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tầng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hướng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đồng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dùng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hạ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tầng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mạng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lưới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viễn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đê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̉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triển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các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dịch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vụ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người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với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chi phí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thấp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thúc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dùng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Khuyến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Nam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soát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tuyến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qua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59543389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tầng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thuật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gram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an</w:t>
      </w:r>
      <w:proofErr w:type="gram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30-NQ/TW,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25/7/2018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0E49FE57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tầng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lĩnh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yếu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đồng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yêu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tầng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vững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chắc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47AF14D7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4.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Chính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sách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phát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triển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và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nâng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cao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năng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lực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đổi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mới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sáng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tạo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quốc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gia</w:t>
      </w:r>
      <w:proofErr w:type="spellEnd"/>
    </w:p>
    <w:p w14:paraId="22BF4FA7" w14:textId="77777777" w:rsidR="0004713E" w:rsidRPr="0004713E" w:rsidRDefault="0004713E" w:rsidP="0004713E">
      <w:pPr>
        <w:shd w:val="clear" w:color="auto" w:fill="FFFFFF"/>
        <w:spacing w:before="144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khoa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cốt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lõi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khoa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tốt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205F8174" w14:textId="77777777" w:rsidR="0004713E" w:rsidRPr="0004713E" w:rsidRDefault="0004713E" w:rsidP="0004713E">
      <w:pPr>
        <w:shd w:val="clear" w:color="auto" w:fill="FFFFFF"/>
        <w:spacing w:before="144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đặc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hướng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lấy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Khuyến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ngoài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Nam.</w:t>
      </w:r>
    </w:p>
    <w:p w14:paraId="0AF5F312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chuẩn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chuẩn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cốt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lõi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xuất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đồng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kịp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hỗ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lastRenderedPageBreak/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suất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187AA84C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sự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(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),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Nẵng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Hồ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Minh,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đẳng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Thúc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khởi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khởi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mắt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Nẵng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Hồ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Minh.</w:t>
      </w:r>
    </w:p>
    <w:p w14:paraId="34972C46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5.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Chính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sách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phát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triển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nguồn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nhân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lực</w:t>
      </w:r>
      <w:proofErr w:type="spellEnd"/>
    </w:p>
    <w:p w14:paraId="268A49E8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Rà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soát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dung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hướng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tục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đưa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dung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ngoại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ngữ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thiểu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dạy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lấy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lĩnh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tin.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Khuyến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2241FFE8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khuyến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ra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phẩm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phục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xuất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sắc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tục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khuyến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hút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nguồn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     </w:t>
      </w:r>
    </w:p>
    <w:p w14:paraId="59032AB7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hỗ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hỗ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người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lao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698A9A9A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người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Nam.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gram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an</w:t>
      </w:r>
      <w:proofErr w:type="gram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người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truyền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đồng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0559E3E9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6.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Chính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sách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phát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triển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các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ngành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và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công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nghệ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ưu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tiên</w:t>
      </w:r>
      <w:proofErr w:type="spellEnd"/>
    </w:p>
    <w:p w14:paraId="64890C94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sẵn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sàng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: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tin,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viễn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du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lịch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y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đào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78B466AC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nguồn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tâm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: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tin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truyền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lĩnh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tuệ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y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3BD3DDAE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hỗ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yếu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qua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hỗ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tầng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nguồn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khoa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mua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sắm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49EC262A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lastRenderedPageBreak/>
        <w:t xml:space="preserve">7.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Chính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sách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hội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nhập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quốc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tế</w:t>
      </w:r>
      <w:proofErr w:type="spellEnd"/>
    </w:p>
    <w:p w14:paraId="0380FDD1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rộng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sâu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sắc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khoa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đặc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khoa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đang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0695E544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Đẩy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hút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nguồn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từ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ngoài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dụng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khởi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3F8906DE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luật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ngoài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hướng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nâng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chuẩn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khuyến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nghệ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giữa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ngoài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dịch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xuyên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đẳng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luật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vốn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ngoài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06D95016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8.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Chính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sách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thúc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đẩy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chuyển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đổi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số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trong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các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cơ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quan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Đảng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Nhà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nước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Mặt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trận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Tổ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quốc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các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tổ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chức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chính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trị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xã</w:t>
      </w:r>
      <w:proofErr w:type="spellEnd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hội</w:t>
      </w:r>
      <w:proofErr w:type="spellEnd"/>
    </w:p>
    <w:p w14:paraId="59E222E0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bảo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thống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nhất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đồng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5360BEC5" w14:textId="77777777" w:rsidR="0004713E" w:rsidRPr="0004713E" w:rsidRDefault="0004713E" w:rsidP="0004713E">
      <w:pPr>
        <w:shd w:val="clear" w:color="auto" w:fill="FFFFFF"/>
        <w:spacing w:before="288"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dữ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điều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mọi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nhật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tin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máy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sở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tầng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dữ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liệu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dịch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Internet ở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41836BC6" w14:textId="77777777" w:rsidR="0004713E" w:rsidRPr="0004713E" w:rsidRDefault="0004713E" w:rsidP="0004713E">
      <w:pPr>
        <w:shd w:val="clear" w:color="auto" w:fill="FFFFFF"/>
        <w:spacing w:before="288"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Chú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trọng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ứng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yêu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cầu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chuẩn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Phân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rõ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năng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nhiệm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giữa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lý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nước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tục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phù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động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cắt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giảm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dịch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tiếp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69CA6D75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IV- TỔ CHỨC THỰC HIỆN</w:t>
      </w:r>
    </w:p>
    <w:p w14:paraId="15D61C3D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1. 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tỉnh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uỷ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uỷ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sự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uỷ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học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tập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520617DE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2. 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lãnh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cứu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sửa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sung,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hoàn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luật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thuận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lợi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cuộc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một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soát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để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khuyến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khích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phẩm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dịch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của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4ECE72F8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3.</w:t>
      </w: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 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sự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đảng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lãnh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Chiến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lược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chuyển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đổi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đề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tham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công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lần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thứ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chỉ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cấp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thẩm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quyền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hành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nghiệm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soát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lastRenderedPageBreak/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sản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phẩm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mô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doanh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bố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nguồn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nhiệm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vụ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nêu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trong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611D6D55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4.</w:t>
      </w: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 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Mặt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trận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Nam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chức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-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xã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hội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xây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dựng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hoạch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giám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sát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40F83C88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5.</w:t>
      </w: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 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Tuyên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và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hướng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dẫn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quán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triệt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0E370167" w14:textId="77777777" w:rsidR="0004713E" w:rsidRPr="0004713E" w:rsidRDefault="0004713E" w:rsidP="0004713E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bookmarkStart w:id="0" w:name="_GoBack"/>
      <w:bookmarkEnd w:id="0"/>
      <w:r w:rsidRPr="0004713E">
        <w:rPr>
          <w:rFonts w:ascii="Roboto" w:eastAsia="Times New Roman" w:hAnsi="Roboto" w:cs="Times New Roman"/>
          <w:b/>
          <w:bCs/>
          <w:color w:val="333333"/>
          <w:sz w:val="23"/>
          <w:szCs w:val="23"/>
          <w:bdr w:val="none" w:sz="0" w:space="0" w:color="auto" w:frame="1"/>
        </w:rPr>
        <w:t>6.</w:t>
      </w: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 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tế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Trung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ương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chủ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trì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phối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hợp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với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liên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quan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thường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xuyên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theo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dõi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giám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sát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kiểm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tra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đôn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đốc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triển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khai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Nghị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quyết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;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định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kỳ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sơ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tổng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kết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việc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thực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hiện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cáo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Bộ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Chính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trị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, Ban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Bí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thư</w:t>
      </w:r>
      <w:proofErr w:type="spellEnd"/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.</w:t>
      </w:r>
    </w:p>
    <w:p w14:paraId="6F3D97A5" w14:textId="77777777" w:rsidR="0004713E" w:rsidRPr="0004713E" w:rsidRDefault="0004713E" w:rsidP="0004713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04713E">
        <w:rPr>
          <w:rFonts w:ascii="Roboto" w:eastAsia="Times New Roman" w:hAnsi="Roboto" w:cs="Times New Roman"/>
          <w:color w:val="333333"/>
          <w:sz w:val="23"/>
          <w:szCs w:val="23"/>
        </w:rPr>
        <w:t> </w:t>
      </w:r>
    </w:p>
    <w:tbl>
      <w:tblPr>
        <w:tblW w:w="112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6"/>
        <w:gridCol w:w="3654"/>
      </w:tblGrid>
      <w:tr w:rsidR="0004713E" w:rsidRPr="0004713E" w14:paraId="1F5BB983" w14:textId="77777777" w:rsidTr="0004713E">
        <w:trPr>
          <w:trHeight w:val="1765"/>
          <w:jc w:val="center"/>
        </w:trPr>
        <w:tc>
          <w:tcPr>
            <w:tcW w:w="95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7CDE" w14:textId="77777777" w:rsidR="0004713E" w:rsidRPr="0004713E" w:rsidRDefault="0004713E" w:rsidP="0004713E">
            <w:pPr>
              <w:spacing w:after="150" w:line="240" w:lineRule="auto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r w:rsidRPr="0004713E"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2818" w14:textId="77777777" w:rsidR="0004713E" w:rsidRPr="0004713E" w:rsidRDefault="0004713E" w:rsidP="000471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r w:rsidRPr="0004713E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T/M BỘ CHÍNH TRỊ</w:t>
            </w:r>
          </w:p>
          <w:p w14:paraId="498CD338" w14:textId="77777777" w:rsidR="0004713E" w:rsidRPr="0004713E" w:rsidRDefault="0004713E" w:rsidP="0004713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r w:rsidRPr="0004713E"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  <w:t>TỔNG BÍ THƯ</w:t>
            </w:r>
          </w:p>
          <w:p w14:paraId="3A8FF585" w14:textId="77777777" w:rsidR="0004713E" w:rsidRPr="0004713E" w:rsidRDefault="0004713E" w:rsidP="0004713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r w:rsidRPr="0004713E"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  <w:t> </w:t>
            </w:r>
          </w:p>
          <w:p w14:paraId="3FCAB18E" w14:textId="77777777" w:rsidR="0004713E" w:rsidRPr="0004713E" w:rsidRDefault="0004713E" w:rsidP="0004713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r w:rsidRPr="0004713E"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  <w:t>(</w:t>
            </w:r>
            <w:proofErr w:type="spellStart"/>
            <w:r w:rsidRPr="0004713E"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  <w:t>Đã</w:t>
            </w:r>
            <w:proofErr w:type="spellEnd"/>
            <w:r w:rsidRPr="0004713E"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4713E"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  <w:t>ký</w:t>
            </w:r>
            <w:proofErr w:type="spellEnd"/>
            <w:r w:rsidRPr="0004713E"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  <w:t>)</w:t>
            </w:r>
          </w:p>
          <w:p w14:paraId="5E0A5DF0" w14:textId="77777777" w:rsidR="0004713E" w:rsidRPr="0004713E" w:rsidRDefault="0004713E" w:rsidP="0004713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r w:rsidRPr="0004713E"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  <w:t> </w:t>
            </w:r>
          </w:p>
          <w:p w14:paraId="4EC2B9B8" w14:textId="77777777" w:rsidR="0004713E" w:rsidRPr="0004713E" w:rsidRDefault="0004713E" w:rsidP="0004713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</w:rPr>
            </w:pPr>
            <w:proofErr w:type="spellStart"/>
            <w:r w:rsidRPr="0004713E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Nguyễn</w:t>
            </w:r>
            <w:proofErr w:type="spellEnd"/>
            <w:r w:rsidRPr="0004713E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713E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Phú</w:t>
            </w:r>
            <w:proofErr w:type="spellEnd"/>
            <w:r w:rsidRPr="0004713E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4713E">
              <w:rPr>
                <w:rFonts w:ascii="Roboto" w:eastAsia="Times New Roman" w:hAnsi="Roboto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Trọng</w:t>
            </w:r>
            <w:proofErr w:type="spellEnd"/>
          </w:p>
        </w:tc>
      </w:tr>
    </w:tbl>
    <w:p w14:paraId="2F1F1C46" w14:textId="77777777" w:rsidR="005F6343" w:rsidRDefault="005F6343"/>
    <w:sectPr w:rsidR="005F6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E"/>
    <w:rsid w:val="000032E8"/>
    <w:rsid w:val="00014694"/>
    <w:rsid w:val="0002314C"/>
    <w:rsid w:val="0004713E"/>
    <w:rsid w:val="000478D4"/>
    <w:rsid w:val="00063225"/>
    <w:rsid w:val="00096A38"/>
    <w:rsid w:val="000B3921"/>
    <w:rsid w:val="000B4F1C"/>
    <w:rsid w:val="000C1290"/>
    <w:rsid w:val="000D4A68"/>
    <w:rsid w:val="000E00C4"/>
    <w:rsid w:val="000E10CF"/>
    <w:rsid w:val="000E10DC"/>
    <w:rsid w:val="000F0FAD"/>
    <w:rsid w:val="000F6893"/>
    <w:rsid w:val="000F7E0C"/>
    <w:rsid w:val="001412AC"/>
    <w:rsid w:val="00144DB4"/>
    <w:rsid w:val="001461F5"/>
    <w:rsid w:val="001603B0"/>
    <w:rsid w:val="00193083"/>
    <w:rsid w:val="001D5639"/>
    <w:rsid w:val="001D5AD8"/>
    <w:rsid w:val="001E3F0A"/>
    <w:rsid w:val="00202F76"/>
    <w:rsid w:val="002213F9"/>
    <w:rsid w:val="0023306E"/>
    <w:rsid w:val="00233314"/>
    <w:rsid w:val="002541E7"/>
    <w:rsid w:val="002676BC"/>
    <w:rsid w:val="00280D09"/>
    <w:rsid w:val="002837DC"/>
    <w:rsid w:val="0029045C"/>
    <w:rsid w:val="002B54E7"/>
    <w:rsid w:val="002B5CAD"/>
    <w:rsid w:val="002B76C9"/>
    <w:rsid w:val="002C31C2"/>
    <w:rsid w:val="002C7905"/>
    <w:rsid w:val="002D1C45"/>
    <w:rsid w:val="002D63D1"/>
    <w:rsid w:val="002E14E6"/>
    <w:rsid w:val="002E4D56"/>
    <w:rsid w:val="002F2B18"/>
    <w:rsid w:val="0030255E"/>
    <w:rsid w:val="003142AF"/>
    <w:rsid w:val="00331102"/>
    <w:rsid w:val="003420CE"/>
    <w:rsid w:val="00347921"/>
    <w:rsid w:val="00351282"/>
    <w:rsid w:val="003529D5"/>
    <w:rsid w:val="00355356"/>
    <w:rsid w:val="00366AE7"/>
    <w:rsid w:val="00394AB6"/>
    <w:rsid w:val="003A2420"/>
    <w:rsid w:val="003A53C6"/>
    <w:rsid w:val="003B6DD6"/>
    <w:rsid w:val="003E36A5"/>
    <w:rsid w:val="003F3B7C"/>
    <w:rsid w:val="00406967"/>
    <w:rsid w:val="00427AFA"/>
    <w:rsid w:val="004349AC"/>
    <w:rsid w:val="004470FB"/>
    <w:rsid w:val="00480C90"/>
    <w:rsid w:val="00493050"/>
    <w:rsid w:val="004D761F"/>
    <w:rsid w:val="004D7F51"/>
    <w:rsid w:val="004E4617"/>
    <w:rsid w:val="004F080B"/>
    <w:rsid w:val="0050373B"/>
    <w:rsid w:val="00507561"/>
    <w:rsid w:val="00516721"/>
    <w:rsid w:val="00531622"/>
    <w:rsid w:val="00537D1B"/>
    <w:rsid w:val="00553DD2"/>
    <w:rsid w:val="005636AF"/>
    <w:rsid w:val="00572C42"/>
    <w:rsid w:val="0058591B"/>
    <w:rsid w:val="0058736D"/>
    <w:rsid w:val="00594C95"/>
    <w:rsid w:val="005954B3"/>
    <w:rsid w:val="005A5B0E"/>
    <w:rsid w:val="005B0FEC"/>
    <w:rsid w:val="005B6CA7"/>
    <w:rsid w:val="005D2225"/>
    <w:rsid w:val="005E0419"/>
    <w:rsid w:val="005E5FED"/>
    <w:rsid w:val="005F6343"/>
    <w:rsid w:val="006366CF"/>
    <w:rsid w:val="00641B3C"/>
    <w:rsid w:val="00651A18"/>
    <w:rsid w:val="00654CF3"/>
    <w:rsid w:val="006614C1"/>
    <w:rsid w:val="006645CE"/>
    <w:rsid w:val="006726E8"/>
    <w:rsid w:val="006776E3"/>
    <w:rsid w:val="006B58B0"/>
    <w:rsid w:val="006E2A6C"/>
    <w:rsid w:val="00713236"/>
    <w:rsid w:val="0072161E"/>
    <w:rsid w:val="00737074"/>
    <w:rsid w:val="00740978"/>
    <w:rsid w:val="00744DF4"/>
    <w:rsid w:val="00752F11"/>
    <w:rsid w:val="00756719"/>
    <w:rsid w:val="00782D2B"/>
    <w:rsid w:val="00790FC8"/>
    <w:rsid w:val="00797DD8"/>
    <w:rsid w:val="007A1D3C"/>
    <w:rsid w:val="007B4345"/>
    <w:rsid w:val="007B5D3B"/>
    <w:rsid w:val="007C3B8E"/>
    <w:rsid w:val="007D25F9"/>
    <w:rsid w:val="007D57C8"/>
    <w:rsid w:val="007E66B2"/>
    <w:rsid w:val="00802796"/>
    <w:rsid w:val="00805202"/>
    <w:rsid w:val="0082150C"/>
    <w:rsid w:val="00824995"/>
    <w:rsid w:val="00843E04"/>
    <w:rsid w:val="008513CC"/>
    <w:rsid w:val="00892DD7"/>
    <w:rsid w:val="008A2DE0"/>
    <w:rsid w:val="008B3094"/>
    <w:rsid w:val="008C6B27"/>
    <w:rsid w:val="008E55D2"/>
    <w:rsid w:val="008E56B6"/>
    <w:rsid w:val="008F0A6B"/>
    <w:rsid w:val="00911A47"/>
    <w:rsid w:val="00912550"/>
    <w:rsid w:val="0092244B"/>
    <w:rsid w:val="00950C98"/>
    <w:rsid w:val="009568AF"/>
    <w:rsid w:val="0096277C"/>
    <w:rsid w:val="00975644"/>
    <w:rsid w:val="00975E2E"/>
    <w:rsid w:val="009A1858"/>
    <w:rsid w:val="009A58CF"/>
    <w:rsid w:val="009B34F9"/>
    <w:rsid w:val="009B3B1E"/>
    <w:rsid w:val="009B4DC2"/>
    <w:rsid w:val="009C2B71"/>
    <w:rsid w:val="009D1A1E"/>
    <w:rsid w:val="009E2F88"/>
    <w:rsid w:val="009E54CD"/>
    <w:rsid w:val="00A1161A"/>
    <w:rsid w:val="00A24D2B"/>
    <w:rsid w:val="00A35FB9"/>
    <w:rsid w:val="00AA0B7E"/>
    <w:rsid w:val="00AA2F7E"/>
    <w:rsid w:val="00AC5AF4"/>
    <w:rsid w:val="00AC6E51"/>
    <w:rsid w:val="00AD5615"/>
    <w:rsid w:val="00AD5666"/>
    <w:rsid w:val="00AE7668"/>
    <w:rsid w:val="00AF31B7"/>
    <w:rsid w:val="00AF3886"/>
    <w:rsid w:val="00AF3954"/>
    <w:rsid w:val="00B1099D"/>
    <w:rsid w:val="00B13A1D"/>
    <w:rsid w:val="00B50E3A"/>
    <w:rsid w:val="00B52009"/>
    <w:rsid w:val="00B63FCD"/>
    <w:rsid w:val="00B7503E"/>
    <w:rsid w:val="00B757D7"/>
    <w:rsid w:val="00B770C6"/>
    <w:rsid w:val="00B80BCC"/>
    <w:rsid w:val="00BA2EBD"/>
    <w:rsid w:val="00BB605D"/>
    <w:rsid w:val="00BC4F92"/>
    <w:rsid w:val="00BD746E"/>
    <w:rsid w:val="00BE06E5"/>
    <w:rsid w:val="00BF793A"/>
    <w:rsid w:val="00C142F1"/>
    <w:rsid w:val="00C211B7"/>
    <w:rsid w:val="00C539B9"/>
    <w:rsid w:val="00C54907"/>
    <w:rsid w:val="00C55EB3"/>
    <w:rsid w:val="00C6131F"/>
    <w:rsid w:val="00C614E6"/>
    <w:rsid w:val="00C80CAD"/>
    <w:rsid w:val="00CB38ED"/>
    <w:rsid w:val="00D07527"/>
    <w:rsid w:val="00D2691E"/>
    <w:rsid w:val="00D27BEE"/>
    <w:rsid w:val="00D359F4"/>
    <w:rsid w:val="00D527B6"/>
    <w:rsid w:val="00D66AC8"/>
    <w:rsid w:val="00D76FC8"/>
    <w:rsid w:val="00D86AAC"/>
    <w:rsid w:val="00D946BD"/>
    <w:rsid w:val="00DA064E"/>
    <w:rsid w:val="00DA2BC2"/>
    <w:rsid w:val="00DA553D"/>
    <w:rsid w:val="00DD4E2E"/>
    <w:rsid w:val="00E03332"/>
    <w:rsid w:val="00E3438D"/>
    <w:rsid w:val="00E46A8B"/>
    <w:rsid w:val="00E561C7"/>
    <w:rsid w:val="00E705BE"/>
    <w:rsid w:val="00E81A1D"/>
    <w:rsid w:val="00E86F4D"/>
    <w:rsid w:val="00E936FD"/>
    <w:rsid w:val="00EE56D6"/>
    <w:rsid w:val="00F5333E"/>
    <w:rsid w:val="00F62415"/>
    <w:rsid w:val="00F718C3"/>
    <w:rsid w:val="00F807BF"/>
    <w:rsid w:val="00F85962"/>
    <w:rsid w:val="00FA2BD6"/>
    <w:rsid w:val="00FA3B92"/>
    <w:rsid w:val="00FB1546"/>
    <w:rsid w:val="00FC1343"/>
    <w:rsid w:val="00FD08B2"/>
    <w:rsid w:val="00FD08F9"/>
    <w:rsid w:val="00FE766A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477F"/>
  <w15:chartTrackingRefBased/>
  <w15:docId w15:val="{63776056-4A71-4288-93F5-D273520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1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baocaovien">
    <w:name w:val="baocaovien"/>
    <w:basedOn w:val="Normal"/>
    <w:rsid w:val="000471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2019-09-30T07:26:00Z</dcterms:created>
  <dcterms:modified xsi:type="dcterms:W3CDTF">2019-09-30T07:29:00Z</dcterms:modified>
</cp:coreProperties>
</file>